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8E8D7FE" w14:paraId="170E1A2E" wp14:textId="544D777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8E8D7FE" w:rsidR="58E8D7FE">
        <w:rPr>
          <w:rFonts w:ascii="Calibri" w:hAnsi="Calibri" w:eastAsia="Calibri" w:cs="Calibri"/>
          <w:b w:val="0"/>
          <w:bCs w:val="0"/>
          <w:i w:val="0"/>
          <w:iCs w:val="0"/>
          <w:caps w:val="0"/>
          <w:smallCaps w:val="0"/>
          <w:noProof w:val="0"/>
          <w:color w:val="000000" w:themeColor="text1" w:themeTint="FF" w:themeShade="FF"/>
          <w:sz w:val="22"/>
          <w:szCs w:val="22"/>
          <w:lang w:val="en-US"/>
        </w:rPr>
        <w:t>ETBU Post-Bacc Teacher Calendar of Events</w:t>
      </w:r>
    </w:p>
    <w:tbl>
      <w:tblPr>
        <w:tblStyle w:val="TableGrid"/>
        <w:tblW w:w="0" w:type="auto"/>
        <w:tblLayout w:type="fixed"/>
        <w:tblLook w:val="06A0" w:firstRow="1" w:lastRow="0" w:firstColumn="1" w:lastColumn="0" w:noHBand="1" w:noVBand="1"/>
      </w:tblPr>
      <w:tblGrid>
        <w:gridCol w:w="4680"/>
        <w:gridCol w:w="4680"/>
      </w:tblGrid>
      <w:tr w:rsidR="58E8D7FE" w:rsidTr="483C1FB6" w14:paraId="2463E0FF">
        <w:tc>
          <w:tcPr>
            <w:tcW w:w="4680" w:type="dxa"/>
            <w:tcMar/>
            <w:vAlign w:val="top"/>
          </w:tcPr>
          <w:p w:rsidR="58E8D7FE" w:rsidP="58E8D7FE" w:rsidRDefault="58E8D7FE" w14:paraId="6C7D997C" w14:textId="443A16CF">
            <w:pPr>
              <w:spacing w:line="259" w:lineRule="auto"/>
              <w:rPr>
                <w:rFonts w:ascii="Calibri" w:hAnsi="Calibri" w:eastAsia="Calibri" w:cs="Calibri"/>
                <w:b w:val="0"/>
                <w:bCs w:val="0"/>
                <w:i w:val="0"/>
                <w:iCs w:val="0"/>
                <w:sz w:val="24"/>
                <w:szCs w:val="24"/>
                <w:lang w:val="en-US"/>
              </w:rPr>
            </w:pPr>
            <w:r w:rsidRPr="58E8D7FE" w:rsidR="58E8D7FE">
              <w:rPr>
                <w:rFonts w:ascii="Calibri" w:hAnsi="Calibri" w:eastAsia="Calibri" w:cs="Calibri"/>
                <w:b w:val="0"/>
                <w:bCs w:val="0"/>
                <w:i w:val="0"/>
                <w:iCs w:val="0"/>
                <w:sz w:val="24"/>
                <w:szCs w:val="24"/>
                <w:lang w:val="es-MX"/>
              </w:rPr>
              <w:t>Phase 1: Pass content exams</w:t>
            </w:r>
          </w:p>
        </w:tc>
        <w:tc>
          <w:tcPr>
            <w:tcW w:w="4680" w:type="dxa"/>
            <w:tcMar/>
            <w:vAlign w:val="top"/>
          </w:tcPr>
          <w:p w:rsidR="58E8D7FE" w:rsidP="483C1FB6" w:rsidRDefault="58E8D7FE" w14:paraId="46FB4F39" w14:textId="50AF3DEE">
            <w:pPr>
              <w:pStyle w:val="ListParagraph"/>
              <w:numPr>
                <w:ilvl w:val="0"/>
                <w:numId w:val="1"/>
              </w:numPr>
              <w:spacing w:line="259" w:lineRule="auto"/>
              <w:rPr>
                <w:rFonts w:ascii="Calibri" w:hAnsi="Calibri" w:eastAsia="Calibri" w:cs="Calibri" w:asciiTheme="minorAscii" w:hAnsiTheme="minorAscii" w:eastAsiaTheme="minorAscii" w:cstheme="minorAscii"/>
                <w:noProof w:val="0"/>
                <w:sz w:val="24"/>
                <w:szCs w:val="24"/>
                <w:lang w:val="en-US"/>
              </w:rPr>
            </w:pPr>
            <w:r w:rsidRPr="483C1FB6" w:rsidR="483C1FB6">
              <w:rPr>
                <w:rFonts w:ascii="Calibri" w:hAnsi="Calibri" w:eastAsia="Calibri" w:cs="Calibri"/>
                <w:noProof w:val="0"/>
                <w:sz w:val="24"/>
                <w:szCs w:val="24"/>
                <w:lang w:val="en-US"/>
              </w:rPr>
              <w:t>Meet the screening criteria for admission requirements and gain approval to the program.                       All general and specific admission requirement for Master of Education program (certification tracks) in line with the State Board of Educator Certification and the Texas Education Agency must be met along with approval from the ETBU Department of Teacher Education</w:t>
            </w:r>
          </w:p>
          <w:p w:rsidR="58E8D7FE" w:rsidP="483C1FB6" w:rsidRDefault="58E8D7FE" w14:paraId="312020BD" w14:textId="4426B1C9">
            <w:pPr>
              <w:pStyle w:val="ListParagraph"/>
              <w:numPr>
                <w:ilvl w:val="0"/>
                <w:numId w:val="1"/>
              </w:numPr>
              <w:spacing w:line="259" w:lineRule="auto"/>
              <w:rPr>
                <w:rFonts w:ascii="Calibri" w:hAnsi="Calibri" w:eastAsia="Calibri" w:cs="Calibri" w:asciiTheme="minorAscii" w:hAnsiTheme="minorAscii" w:eastAsiaTheme="minorAscii" w:cstheme="minorAscii"/>
                <w:noProof w:val="0"/>
                <w:sz w:val="24"/>
                <w:szCs w:val="24"/>
                <w:lang w:val="en-US"/>
              </w:rPr>
            </w:pPr>
            <w:r w:rsidRPr="483C1FB6" w:rsidR="483C1FB6">
              <w:rPr>
                <w:rFonts w:ascii="Calibri" w:hAnsi="Calibri" w:eastAsia="Calibri" w:cs="Calibri"/>
                <w:noProof w:val="0"/>
                <w:sz w:val="24"/>
                <w:szCs w:val="24"/>
                <w:lang w:val="en-US"/>
              </w:rPr>
              <w:t>Develop a certification plan- After meeting the screening criteria and being accepted into the program, students will meet with a graduate advisor to discuss their goals as a teacher. The advisor will advise students of the specific coursework, students teaching or internship, and tests that must be completed.</w:t>
            </w:r>
          </w:p>
          <w:p w:rsidR="58E8D7FE" w:rsidP="483C1FB6" w:rsidRDefault="58E8D7FE" w14:paraId="1D481E00" w14:textId="4DCE7BDB">
            <w:pPr>
              <w:pStyle w:val="ListParagraph"/>
              <w:numPr>
                <w:ilvl w:val="0"/>
                <w:numId w:val="1"/>
              </w:numPr>
              <w:spacing w:line="259" w:lineRule="auto"/>
              <w:rPr>
                <w:rFonts w:ascii="Calibri" w:hAnsi="Calibri" w:eastAsia="Calibri" w:cs="Calibri" w:asciiTheme="minorAscii" w:hAnsiTheme="minorAscii" w:eastAsiaTheme="minorAscii" w:cstheme="minorAscii"/>
                <w:b w:val="0"/>
                <w:bCs w:val="0"/>
                <w:i w:val="0"/>
                <w:iCs w:val="0"/>
                <w:sz w:val="24"/>
                <w:szCs w:val="24"/>
                <w:lang w:val="en-US"/>
              </w:rPr>
            </w:pPr>
            <w:r w:rsidRPr="483C1FB6" w:rsidR="483C1FB6">
              <w:rPr>
                <w:rFonts w:ascii="Calibri" w:hAnsi="Calibri" w:eastAsia="Calibri" w:cs="Calibri"/>
                <w:b w:val="0"/>
                <w:bCs w:val="0"/>
                <w:i w:val="0"/>
                <w:iCs w:val="0"/>
                <w:sz w:val="24"/>
                <w:szCs w:val="24"/>
                <w:lang w:val="en-US"/>
              </w:rPr>
              <w:t xml:space="preserve">Register for and complete the </w:t>
            </w:r>
            <w:r w:rsidRPr="483C1FB6" w:rsidR="483C1FB6">
              <w:rPr>
                <w:rFonts w:ascii="Calibri" w:hAnsi="Calibri" w:eastAsia="Calibri" w:cs="Calibri"/>
                <w:b w:val="0"/>
                <w:bCs w:val="0"/>
                <w:i w:val="0"/>
                <w:iCs w:val="0"/>
                <w:sz w:val="24"/>
                <w:szCs w:val="24"/>
                <w:lang w:val="en-US"/>
              </w:rPr>
              <w:t>appropriate examinations</w:t>
            </w:r>
            <w:r w:rsidRPr="483C1FB6" w:rsidR="483C1FB6">
              <w:rPr>
                <w:rFonts w:ascii="Calibri" w:hAnsi="Calibri" w:eastAsia="Calibri" w:cs="Calibri"/>
                <w:b w:val="0"/>
                <w:bCs w:val="0"/>
                <w:i w:val="0"/>
                <w:iCs w:val="0"/>
                <w:sz w:val="24"/>
                <w:szCs w:val="24"/>
                <w:lang w:val="en-US"/>
              </w:rPr>
              <w:t xml:space="preserve">                         -Students must </w:t>
            </w:r>
            <w:r w:rsidRPr="483C1FB6" w:rsidR="483C1FB6">
              <w:rPr>
                <w:rFonts w:ascii="Calibri" w:hAnsi="Calibri" w:eastAsia="Calibri" w:cs="Calibri"/>
                <w:b w:val="0"/>
                <w:bCs w:val="0"/>
                <w:i w:val="0"/>
                <w:iCs w:val="0"/>
                <w:sz w:val="24"/>
                <w:szCs w:val="24"/>
                <w:lang w:val="en-US"/>
              </w:rPr>
              <w:t>be authorized to</w:t>
            </w:r>
            <w:r w:rsidRPr="483C1FB6" w:rsidR="483C1FB6">
              <w:rPr>
                <w:rFonts w:ascii="Calibri" w:hAnsi="Calibri" w:eastAsia="Calibri" w:cs="Calibri"/>
                <w:b w:val="0"/>
                <w:bCs w:val="0"/>
                <w:i w:val="0"/>
                <w:iCs w:val="0"/>
                <w:sz w:val="24"/>
                <w:szCs w:val="24"/>
                <w:lang w:val="en-US"/>
              </w:rPr>
              <w:t xml:space="preserve"> register for examinations when they are at </w:t>
            </w:r>
            <w:r w:rsidRPr="483C1FB6" w:rsidR="483C1FB6">
              <w:rPr>
                <w:rFonts w:ascii="Calibri" w:hAnsi="Calibri" w:eastAsia="Calibri" w:cs="Calibri"/>
                <w:b w:val="0"/>
                <w:bCs w:val="0"/>
                <w:i w:val="0"/>
                <w:iCs w:val="0"/>
                <w:sz w:val="24"/>
                <w:szCs w:val="24"/>
                <w:lang w:val="en-US"/>
              </w:rPr>
              <w:t>an appropriate point</w:t>
            </w:r>
            <w:r w:rsidRPr="483C1FB6" w:rsidR="483C1FB6">
              <w:rPr>
                <w:rFonts w:ascii="Calibri" w:hAnsi="Calibri" w:eastAsia="Calibri" w:cs="Calibri"/>
                <w:b w:val="0"/>
                <w:bCs w:val="0"/>
                <w:i w:val="0"/>
                <w:iCs w:val="0"/>
                <w:sz w:val="24"/>
                <w:szCs w:val="24"/>
                <w:lang w:val="en-US"/>
              </w:rPr>
              <w:t xml:space="preserve"> in the program. This will vary based on </w:t>
            </w:r>
            <w:proofErr w:type="gramStart"/>
            <w:r w:rsidRPr="483C1FB6" w:rsidR="483C1FB6">
              <w:rPr>
                <w:rFonts w:ascii="Calibri" w:hAnsi="Calibri" w:eastAsia="Calibri" w:cs="Calibri"/>
                <w:b w:val="0"/>
                <w:bCs w:val="0"/>
                <w:i w:val="0"/>
                <w:iCs w:val="0"/>
                <w:sz w:val="24"/>
                <w:szCs w:val="24"/>
                <w:lang w:val="en-US"/>
              </w:rPr>
              <w:t>type</w:t>
            </w:r>
            <w:proofErr w:type="gramEnd"/>
            <w:r w:rsidRPr="483C1FB6" w:rsidR="483C1FB6">
              <w:rPr>
                <w:rFonts w:ascii="Calibri" w:hAnsi="Calibri" w:eastAsia="Calibri" w:cs="Calibri"/>
                <w:b w:val="0"/>
                <w:bCs w:val="0"/>
                <w:i w:val="0"/>
                <w:iCs w:val="0"/>
                <w:sz w:val="24"/>
                <w:szCs w:val="24"/>
                <w:lang w:val="en-US"/>
              </w:rPr>
              <w:t xml:space="preserve"> of program they are enrolled in. Persons in </w:t>
            </w:r>
            <w:r w:rsidRPr="483C1FB6" w:rsidR="483C1FB6">
              <w:rPr>
                <w:rFonts w:ascii="Calibri" w:hAnsi="Calibri" w:eastAsia="Calibri" w:cs="Calibri"/>
                <w:b w:val="0"/>
                <w:bCs w:val="0"/>
                <w:i w:val="0"/>
                <w:iCs w:val="0"/>
                <w:sz w:val="24"/>
                <w:szCs w:val="24"/>
                <w:lang w:val="en-US"/>
              </w:rPr>
              <w:t>post-baccalaureate</w:t>
            </w:r>
            <w:r w:rsidRPr="483C1FB6" w:rsidR="483C1FB6">
              <w:rPr>
                <w:rFonts w:ascii="Calibri" w:hAnsi="Calibri" w:eastAsia="Calibri" w:cs="Calibri"/>
                <w:b w:val="0"/>
                <w:bCs w:val="0"/>
                <w:i w:val="0"/>
                <w:iCs w:val="0"/>
                <w:sz w:val="24"/>
                <w:szCs w:val="24"/>
                <w:lang w:val="en-US"/>
              </w:rPr>
              <w:t xml:space="preserve"> programs may be allowed to complete the content </w:t>
            </w:r>
            <w:proofErr w:type="gramStart"/>
            <w:r w:rsidRPr="483C1FB6" w:rsidR="483C1FB6">
              <w:rPr>
                <w:rFonts w:ascii="Calibri" w:hAnsi="Calibri" w:eastAsia="Calibri" w:cs="Calibri"/>
                <w:b w:val="0"/>
                <w:bCs w:val="0"/>
                <w:i w:val="0"/>
                <w:iCs w:val="0"/>
                <w:sz w:val="24"/>
                <w:szCs w:val="24"/>
                <w:lang w:val="en-US"/>
              </w:rPr>
              <w:t>subjects</w:t>
            </w:r>
            <w:proofErr w:type="gramEnd"/>
            <w:r w:rsidRPr="483C1FB6" w:rsidR="483C1FB6">
              <w:rPr>
                <w:rFonts w:ascii="Calibri" w:hAnsi="Calibri" w:eastAsia="Calibri" w:cs="Calibri"/>
                <w:b w:val="0"/>
                <w:bCs w:val="0"/>
                <w:i w:val="0"/>
                <w:iCs w:val="0"/>
                <w:sz w:val="24"/>
                <w:szCs w:val="24"/>
                <w:lang w:val="en-US"/>
              </w:rPr>
              <w:t xml:space="preserve"> tests earlier than </w:t>
            </w:r>
            <w:proofErr w:type="gramStart"/>
            <w:r w:rsidRPr="483C1FB6" w:rsidR="483C1FB6">
              <w:rPr>
                <w:rFonts w:ascii="Calibri" w:hAnsi="Calibri" w:eastAsia="Calibri" w:cs="Calibri"/>
                <w:b w:val="0"/>
                <w:bCs w:val="0"/>
                <w:i w:val="0"/>
                <w:iCs w:val="0"/>
                <w:sz w:val="24"/>
                <w:szCs w:val="24"/>
                <w:lang w:val="en-US"/>
              </w:rPr>
              <w:t>persons</w:t>
            </w:r>
            <w:proofErr w:type="gramEnd"/>
            <w:r w:rsidRPr="483C1FB6" w:rsidR="483C1FB6">
              <w:rPr>
                <w:rFonts w:ascii="Calibri" w:hAnsi="Calibri" w:eastAsia="Calibri" w:cs="Calibri"/>
                <w:b w:val="0"/>
                <w:bCs w:val="0"/>
                <w:i w:val="0"/>
                <w:iCs w:val="0"/>
                <w:sz w:val="24"/>
                <w:szCs w:val="24"/>
                <w:lang w:val="en-US"/>
              </w:rPr>
              <w:t xml:space="preserve"> in </w:t>
            </w:r>
            <w:proofErr w:type="gramStart"/>
            <w:r w:rsidRPr="483C1FB6" w:rsidR="483C1FB6">
              <w:rPr>
                <w:rFonts w:ascii="Calibri" w:hAnsi="Calibri" w:eastAsia="Calibri" w:cs="Calibri"/>
                <w:b w:val="0"/>
                <w:bCs w:val="0"/>
                <w:i w:val="0"/>
                <w:iCs w:val="0"/>
                <w:sz w:val="24"/>
                <w:szCs w:val="24"/>
                <w:lang w:val="en-US"/>
              </w:rPr>
              <w:t>a</w:t>
            </w:r>
            <w:proofErr w:type="gramEnd"/>
            <w:r w:rsidRPr="483C1FB6" w:rsidR="483C1FB6">
              <w:rPr>
                <w:rFonts w:ascii="Calibri" w:hAnsi="Calibri" w:eastAsia="Calibri" w:cs="Calibri"/>
                <w:b w:val="0"/>
                <w:bCs w:val="0"/>
                <w:i w:val="0"/>
                <w:iCs w:val="0"/>
                <w:sz w:val="24"/>
                <w:szCs w:val="24"/>
                <w:lang w:val="en-US"/>
              </w:rPr>
              <w:t xml:space="preserve"> undergraduate program. Testing fees by the state and/or testing organizations will apply</w:t>
            </w:r>
          </w:p>
        </w:tc>
      </w:tr>
      <w:tr w:rsidR="58E8D7FE" w:rsidTr="483C1FB6" w14:paraId="657A5E2A">
        <w:tc>
          <w:tcPr>
            <w:tcW w:w="4680" w:type="dxa"/>
            <w:tcMar/>
            <w:vAlign w:val="top"/>
          </w:tcPr>
          <w:p w:rsidR="58E8D7FE" w:rsidP="58E8D7FE" w:rsidRDefault="58E8D7FE" w14:paraId="1A86F0C9" w14:textId="64D68CE4">
            <w:pPr>
              <w:spacing w:line="259" w:lineRule="auto"/>
              <w:rPr>
                <w:rFonts w:ascii="Calibri" w:hAnsi="Calibri" w:eastAsia="Calibri" w:cs="Calibri"/>
                <w:b w:val="0"/>
                <w:bCs w:val="0"/>
                <w:i w:val="0"/>
                <w:iCs w:val="0"/>
                <w:sz w:val="24"/>
                <w:szCs w:val="24"/>
                <w:lang w:val="en-US"/>
              </w:rPr>
            </w:pPr>
            <w:r w:rsidRPr="58E8D7FE" w:rsidR="58E8D7FE">
              <w:rPr>
                <w:rFonts w:ascii="Calibri" w:hAnsi="Calibri" w:eastAsia="Calibri" w:cs="Calibri"/>
                <w:b w:val="0"/>
                <w:bCs w:val="0"/>
                <w:i w:val="0"/>
                <w:iCs w:val="0"/>
                <w:sz w:val="24"/>
                <w:szCs w:val="24"/>
                <w:lang w:val="es-MX"/>
              </w:rPr>
              <w:t>Phase 2: Admission to Clinical Teaching/Internship</w:t>
            </w:r>
          </w:p>
        </w:tc>
        <w:tc>
          <w:tcPr>
            <w:tcW w:w="4680" w:type="dxa"/>
            <w:tcMar/>
            <w:vAlign w:val="top"/>
          </w:tcPr>
          <w:p w:rsidR="58E8D7FE" w:rsidP="483C1FB6" w:rsidRDefault="58E8D7FE" w14:paraId="04C42729" w14:textId="17670278">
            <w:pPr>
              <w:pStyle w:val="ListParagraph"/>
              <w:numPr>
                <w:ilvl w:val="0"/>
                <w:numId w:val="2"/>
              </w:numPr>
              <w:spacing w:line="259" w:lineRule="auto"/>
              <w:rPr>
                <w:rFonts w:ascii="Calibri" w:hAnsi="Calibri" w:eastAsia="Calibri" w:cs="Calibri" w:asciiTheme="minorAscii" w:hAnsiTheme="minorAscii" w:eastAsiaTheme="minorAscii" w:cstheme="minorAscii"/>
                <w:noProof w:val="0"/>
                <w:sz w:val="24"/>
                <w:szCs w:val="24"/>
                <w:lang w:val="en-US"/>
              </w:rPr>
            </w:pPr>
            <w:r w:rsidRPr="483C1FB6" w:rsidR="483C1FB6">
              <w:rPr>
                <w:rFonts w:ascii="Calibri" w:hAnsi="Calibri" w:eastAsia="Calibri" w:cs="Calibri"/>
                <w:noProof w:val="0"/>
                <w:sz w:val="24"/>
                <w:szCs w:val="24"/>
                <w:lang w:val="en-US"/>
              </w:rPr>
              <w:t xml:space="preserve">Complete the student teaching requirement (option 1)- If this is the option is chosen, the advisor or field experience supervisor will assist in finding an appropriate clinical teaching placement and will guide students through this process. Students holding a bachelor’s degree may qualify for a one-year paid internship as part of </w:t>
            </w:r>
            <w:r w:rsidRPr="483C1FB6" w:rsidR="483C1FB6">
              <w:rPr>
                <w:rFonts w:ascii="Calibri" w:hAnsi="Calibri" w:eastAsia="Calibri" w:cs="Calibri"/>
                <w:noProof w:val="0"/>
                <w:sz w:val="24"/>
                <w:szCs w:val="24"/>
                <w:lang w:val="en-US"/>
              </w:rPr>
              <w:t>a post</w:t>
            </w:r>
            <w:r w:rsidRPr="483C1FB6" w:rsidR="483C1FB6">
              <w:rPr>
                <w:rFonts w:ascii="Calibri" w:hAnsi="Calibri" w:eastAsia="Calibri" w:cs="Calibri"/>
                <w:noProof w:val="0"/>
                <w:sz w:val="24"/>
                <w:szCs w:val="24"/>
                <w:lang w:val="en-US"/>
              </w:rPr>
              <w:t xml:space="preserve">-baccalaureate program. If you qualify for an </w:t>
            </w:r>
            <w:r w:rsidRPr="483C1FB6" w:rsidR="483C1FB6">
              <w:rPr>
                <w:rFonts w:ascii="Calibri" w:hAnsi="Calibri" w:eastAsia="Calibri" w:cs="Calibri"/>
                <w:noProof w:val="0"/>
                <w:sz w:val="24"/>
                <w:szCs w:val="24"/>
                <w:lang w:val="en-US"/>
              </w:rPr>
              <w:t>internship</w:t>
            </w:r>
            <w:r w:rsidRPr="483C1FB6" w:rsidR="483C1FB6">
              <w:rPr>
                <w:rFonts w:ascii="Calibri" w:hAnsi="Calibri" w:eastAsia="Calibri" w:cs="Calibri"/>
                <w:noProof w:val="0"/>
                <w:sz w:val="24"/>
                <w:szCs w:val="24"/>
                <w:lang w:val="en-US"/>
              </w:rPr>
              <w:t xml:space="preserve"> proceed to option 2</w:t>
            </w:r>
          </w:p>
          <w:p w:rsidR="58E8D7FE" w:rsidP="483C1FB6" w:rsidRDefault="58E8D7FE" w14:paraId="0E8F7725" w14:textId="1A6BC308">
            <w:pPr>
              <w:pStyle w:val="ListParagraph"/>
              <w:numPr>
                <w:ilvl w:val="0"/>
                <w:numId w:val="2"/>
              </w:numPr>
              <w:spacing w:line="259" w:lineRule="auto"/>
              <w:rPr>
                <w:rFonts w:ascii="Calibri" w:hAnsi="Calibri" w:eastAsia="Calibri" w:cs="Calibri" w:asciiTheme="minorAscii" w:hAnsiTheme="minorAscii" w:eastAsiaTheme="minorAscii" w:cstheme="minorAscii"/>
                <w:noProof w:val="0"/>
                <w:sz w:val="24"/>
                <w:szCs w:val="24"/>
                <w:lang w:val="en-US"/>
              </w:rPr>
            </w:pPr>
            <w:r w:rsidRPr="483C1FB6" w:rsidR="483C1FB6">
              <w:rPr>
                <w:rFonts w:ascii="Calibri" w:hAnsi="Calibri" w:eastAsia="Calibri" w:cs="Calibri"/>
                <w:noProof w:val="0"/>
                <w:sz w:val="24"/>
                <w:szCs w:val="24"/>
                <w:lang w:val="en-US"/>
              </w:rPr>
              <w:t xml:space="preserve">Obtain a teaching position and apply for Probationary Certificate                       - If determined that students are eligible for a teaching internship based on progress and completion of any appropriate tests, an eligibility statement for employment purposes will be provided. Students will need to secure a teaching assignment at the grade level and in the subject area of their target certificates. Ince a position has been secured, students will have an experienced, certified mentor assigned to work with them and additional supervision will be provided.                                                         - If a teaching position has been secured for the internship, students need to apply online for a Probationary Certificate, valid for one calendar year to meet state certification rules for students and the school. Students will need to create an online account, apply, pay fees, and meet the requirements for a criminal background check. The ETBU Department of Teacher Education will need to make </w:t>
            </w:r>
            <w:bookmarkStart w:name="_Int_SJl8k2iU" w:id="1427693429"/>
            <w:r w:rsidRPr="483C1FB6" w:rsidR="483C1FB6">
              <w:rPr>
                <w:rFonts w:ascii="Calibri" w:hAnsi="Calibri" w:eastAsia="Calibri" w:cs="Calibri"/>
                <w:noProof w:val="0"/>
                <w:sz w:val="24"/>
                <w:szCs w:val="24"/>
                <w:lang w:val="en-US"/>
              </w:rPr>
              <w:t>recommendation</w:t>
            </w:r>
            <w:bookmarkEnd w:id="1427693429"/>
            <w:r w:rsidRPr="483C1FB6" w:rsidR="483C1FB6">
              <w:rPr>
                <w:rFonts w:ascii="Calibri" w:hAnsi="Calibri" w:eastAsia="Calibri" w:cs="Calibri"/>
                <w:noProof w:val="0"/>
                <w:sz w:val="24"/>
                <w:szCs w:val="24"/>
                <w:lang w:val="en-US"/>
              </w:rPr>
              <w:t xml:space="preserve"> online for the </w:t>
            </w:r>
            <w:r w:rsidRPr="483C1FB6" w:rsidR="483C1FB6">
              <w:rPr>
                <w:rFonts w:ascii="Calibri" w:hAnsi="Calibri" w:eastAsia="Calibri" w:cs="Calibri"/>
                <w:noProof w:val="0"/>
                <w:sz w:val="24"/>
                <w:szCs w:val="24"/>
                <w:lang w:val="en-US"/>
              </w:rPr>
              <w:t>appropriate</w:t>
            </w:r>
            <w:r w:rsidRPr="483C1FB6" w:rsidR="483C1FB6">
              <w:rPr>
                <w:rFonts w:ascii="Calibri" w:hAnsi="Calibri" w:eastAsia="Calibri" w:cs="Calibri"/>
                <w:noProof w:val="0"/>
                <w:sz w:val="24"/>
                <w:szCs w:val="24"/>
                <w:lang w:val="en-US"/>
              </w:rPr>
              <w:t xml:space="preserve"> certificate </w:t>
            </w:r>
          </w:p>
        </w:tc>
      </w:tr>
      <w:tr w:rsidR="58E8D7FE" w:rsidTr="483C1FB6" w14:paraId="286581D3">
        <w:trPr>
          <w:trHeight w:val="315"/>
        </w:trPr>
        <w:tc>
          <w:tcPr>
            <w:tcW w:w="4680" w:type="dxa"/>
            <w:tcMar/>
            <w:vAlign w:val="top"/>
          </w:tcPr>
          <w:p w:rsidR="58E8D7FE" w:rsidP="483C1FB6" w:rsidRDefault="58E8D7FE" w14:paraId="663EEDC4" w14:textId="1E063CF6">
            <w:pPr>
              <w:spacing w:line="259" w:lineRule="auto"/>
              <w:rPr>
                <w:rFonts w:ascii="Calibri" w:hAnsi="Calibri" w:eastAsia="Calibri" w:cs="Calibri"/>
                <w:b w:val="0"/>
                <w:bCs w:val="0"/>
                <w:i w:val="0"/>
                <w:iCs w:val="0"/>
                <w:sz w:val="24"/>
                <w:szCs w:val="24"/>
                <w:lang w:val="en-US"/>
              </w:rPr>
            </w:pPr>
            <w:r w:rsidRPr="483C1FB6" w:rsidR="58E8D7FE">
              <w:rPr>
                <w:rFonts w:ascii="Calibri" w:hAnsi="Calibri" w:eastAsia="Calibri" w:cs="Calibri"/>
                <w:b w:val="0"/>
                <w:bCs w:val="0"/>
                <w:i w:val="0"/>
                <w:iCs w:val="0"/>
                <w:sz w:val="24"/>
                <w:szCs w:val="24"/>
                <w:lang w:val="es-MX"/>
              </w:rPr>
              <w:t xml:space="preserve">Phase 3: Pass </w:t>
            </w:r>
            <w:proofErr w:type="spellStart"/>
            <w:r w:rsidRPr="483C1FB6" w:rsidR="58E8D7FE">
              <w:rPr>
                <w:rFonts w:ascii="Calibri" w:hAnsi="Calibri" w:eastAsia="Calibri" w:cs="Calibri"/>
                <w:b w:val="0"/>
                <w:bCs w:val="0"/>
                <w:i w:val="0"/>
                <w:iCs w:val="0"/>
                <w:sz w:val="24"/>
                <w:szCs w:val="24"/>
                <w:lang w:val="es-MX"/>
              </w:rPr>
              <w:t>pedagogy</w:t>
            </w:r>
            <w:proofErr w:type="spellEnd"/>
            <w:r w:rsidRPr="483C1FB6" w:rsidR="58E8D7FE">
              <w:rPr>
                <w:rFonts w:ascii="Calibri" w:hAnsi="Calibri" w:eastAsia="Calibri" w:cs="Calibri"/>
                <w:b w:val="0"/>
                <w:bCs w:val="0"/>
                <w:i w:val="0"/>
                <w:iCs w:val="0"/>
                <w:sz w:val="24"/>
                <w:szCs w:val="24"/>
                <w:lang w:val="es-MX"/>
              </w:rPr>
              <w:t xml:space="preserve"> </w:t>
            </w:r>
            <w:proofErr w:type="spellStart"/>
            <w:r w:rsidRPr="483C1FB6" w:rsidR="58E8D7FE">
              <w:rPr>
                <w:rFonts w:ascii="Calibri" w:hAnsi="Calibri" w:eastAsia="Calibri" w:cs="Calibri"/>
                <w:b w:val="0"/>
                <w:bCs w:val="0"/>
                <w:i w:val="0"/>
                <w:iCs w:val="0"/>
                <w:sz w:val="24"/>
                <w:szCs w:val="24"/>
                <w:lang w:val="es-MX"/>
              </w:rPr>
              <w:t>exams</w:t>
            </w:r>
            <w:proofErr w:type="spellEnd"/>
          </w:p>
        </w:tc>
        <w:tc>
          <w:tcPr>
            <w:tcW w:w="4680" w:type="dxa"/>
            <w:tcMar/>
            <w:vAlign w:val="top"/>
          </w:tcPr>
          <w:p w:rsidR="58E8D7FE" w:rsidP="483C1FB6" w:rsidRDefault="58E8D7FE" w14:paraId="690F21E9" w14:textId="5256F04D">
            <w:pPr>
              <w:pStyle w:val="ListParagraph"/>
              <w:numPr>
                <w:ilvl w:val="0"/>
                <w:numId w:val="3"/>
              </w:numPr>
              <w:spacing w:line="259" w:lineRule="auto"/>
              <w:rPr>
                <w:rFonts w:ascii="Calibri" w:hAnsi="Calibri" w:eastAsia="Calibri" w:cs="Calibri" w:asciiTheme="minorAscii" w:hAnsiTheme="minorAscii" w:eastAsiaTheme="minorAscii" w:cstheme="minorAscii"/>
                <w:b w:val="0"/>
                <w:bCs w:val="0"/>
                <w:i w:val="0"/>
                <w:iCs w:val="0"/>
                <w:sz w:val="24"/>
                <w:szCs w:val="24"/>
                <w:lang w:val="en-US"/>
              </w:rPr>
            </w:pPr>
            <w:r w:rsidRPr="483C1FB6" w:rsidR="483C1FB6">
              <w:rPr>
                <w:rFonts w:ascii="Calibri" w:hAnsi="Calibri" w:eastAsia="Calibri" w:cs="Calibri"/>
                <w:b w:val="0"/>
                <w:bCs w:val="0"/>
                <w:i w:val="0"/>
                <w:iCs w:val="0"/>
                <w:sz w:val="24"/>
                <w:szCs w:val="24"/>
                <w:lang w:val="en-US"/>
              </w:rPr>
              <w:t xml:space="preserve">Register for and complete the appropriate examinations                         -Students must be authorized to register for examinations when they are at an appropriate point in the program. This will vary based on </w:t>
            </w:r>
            <w:proofErr w:type="gramStart"/>
            <w:r w:rsidRPr="483C1FB6" w:rsidR="483C1FB6">
              <w:rPr>
                <w:rFonts w:ascii="Calibri" w:hAnsi="Calibri" w:eastAsia="Calibri" w:cs="Calibri"/>
                <w:b w:val="0"/>
                <w:bCs w:val="0"/>
                <w:i w:val="0"/>
                <w:iCs w:val="0"/>
                <w:sz w:val="24"/>
                <w:szCs w:val="24"/>
                <w:lang w:val="en-US"/>
              </w:rPr>
              <w:t>type</w:t>
            </w:r>
            <w:proofErr w:type="gramEnd"/>
            <w:r w:rsidRPr="483C1FB6" w:rsidR="483C1FB6">
              <w:rPr>
                <w:rFonts w:ascii="Calibri" w:hAnsi="Calibri" w:eastAsia="Calibri" w:cs="Calibri"/>
                <w:b w:val="0"/>
                <w:bCs w:val="0"/>
                <w:i w:val="0"/>
                <w:iCs w:val="0"/>
                <w:sz w:val="24"/>
                <w:szCs w:val="24"/>
                <w:lang w:val="en-US"/>
              </w:rPr>
              <w:t xml:space="preserve"> of program they are enrolled in. Persons in </w:t>
            </w:r>
            <w:r w:rsidRPr="483C1FB6" w:rsidR="483C1FB6">
              <w:rPr>
                <w:rFonts w:ascii="Calibri" w:hAnsi="Calibri" w:eastAsia="Calibri" w:cs="Calibri"/>
                <w:b w:val="0"/>
                <w:bCs w:val="0"/>
                <w:i w:val="0"/>
                <w:iCs w:val="0"/>
                <w:sz w:val="24"/>
                <w:szCs w:val="24"/>
                <w:lang w:val="en-US"/>
              </w:rPr>
              <w:t>post-baccalaureate</w:t>
            </w:r>
            <w:r w:rsidRPr="483C1FB6" w:rsidR="483C1FB6">
              <w:rPr>
                <w:rFonts w:ascii="Calibri" w:hAnsi="Calibri" w:eastAsia="Calibri" w:cs="Calibri"/>
                <w:b w:val="0"/>
                <w:bCs w:val="0"/>
                <w:i w:val="0"/>
                <w:iCs w:val="0"/>
                <w:sz w:val="24"/>
                <w:szCs w:val="24"/>
                <w:lang w:val="en-US"/>
              </w:rPr>
              <w:t xml:space="preserve"> programs may be allowed to complete the content </w:t>
            </w:r>
            <w:proofErr w:type="gramStart"/>
            <w:r w:rsidRPr="483C1FB6" w:rsidR="483C1FB6">
              <w:rPr>
                <w:rFonts w:ascii="Calibri" w:hAnsi="Calibri" w:eastAsia="Calibri" w:cs="Calibri"/>
                <w:b w:val="0"/>
                <w:bCs w:val="0"/>
                <w:i w:val="0"/>
                <w:iCs w:val="0"/>
                <w:sz w:val="24"/>
                <w:szCs w:val="24"/>
                <w:lang w:val="en-US"/>
              </w:rPr>
              <w:t>subjects</w:t>
            </w:r>
            <w:proofErr w:type="gramEnd"/>
            <w:r w:rsidRPr="483C1FB6" w:rsidR="483C1FB6">
              <w:rPr>
                <w:rFonts w:ascii="Calibri" w:hAnsi="Calibri" w:eastAsia="Calibri" w:cs="Calibri"/>
                <w:b w:val="0"/>
                <w:bCs w:val="0"/>
                <w:i w:val="0"/>
                <w:iCs w:val="0"/>
                <w:sz w:val="24"/>
                <w:szCs w:val="24"/>
                <w:lang w:val="en-US"/>
              </w:rPr>
              <w:t xml:space="preserve"> tests earlier than </w:t>
            </w:r>
            <w:proofErr w:type="gramStart"/>
            <w:r w:rsidRPr="483C1FB6" w:rsidR="483C1FB6">
              <w:rPr>
                <w:rFonts w:ascii="Calibri" w:hAnsi="Calibri" w:eastAsia="Calibri" w:cs="Calibri"/>
                <w:b w:val="0"/>
                <w:bCs w:val="0"/>
                <w:i w:val="0"/>
                <w:iCs w:val="0"/>
                <w:sz w:val="24"/>
                <w:szCs w:val="24"/>
                <w:lang w:val="en-US"/>
              </w:rPr>
              <w:t>persons</w:t>
            </w:r>
            <w:proofErr w:type="gramEnd"/>
            <w:r w:rsidRPr="483C1FB6" w:rsidR="483C1FB6">
              <w:rPr>
                <w:rFonts w:ascii="Calibri" w:hAnsi="Calibri" w:eastAsia="Calibri" w:cs="Calibri"/>
                <w:b w:val="0"/>
                <w:bCs w:val="0"/>
                <w:i w:val="0"/>
                <w:iCs w:val="0"/>
                <w:sz w:val="24"/>
                <w:szCs w:val="24"/>
                <w:lang w:val="en-US"/>
              </w:rPr>
              <w:t xml:space="preserve"> in </w:t>
            </w:r>
            <w:proofErr w:type="gramStart"/>
            <w:r w:rsidRPr="483C1FB6" w:rsidR="483C1FB6">
              <w:rPr>
                <w:rFonts w:ascii="Calibri" w:hAnsi="Calibri" w:eastAsia="Calibri" w:cs="Calibri"/>
                <w:b w:val="0"/>
                <w:bCs w:val="0"/>
                <w:i w:val="0"/>
                <w:iCs w:val="0"/>
                <w:sz w:val="24"/>
                <w:szCs w:val="24"/>
                <w:lang w:val="en-US"/>
              </w:rPr>
              <w:t>a</w:t>
            </w:r>
            <w:proofErr w:type="gramEnd"/>
            <w:r w:rsidRPr="483C1FB6" w:rsidR="483C1FB6">
              <w:rPr>
                <w:rFonts w:ascii="Calibri" w:hAnsi="Calibri" w:eastAsia="Calibri" w:cs="Calibri"/>
                <w:b w:val="0"/>
                <w:bCs w:val="0"/>
                <w:i w:val="0"/>
                <w:iCs w:val="0"/>
                <w:sz w:val="24"/>
                <w:szCs w:val="24"/>
                <w:lang w:val="en-US"/>
              </w:rPr>
              <w:t xml:space="preserve"> undergraduate program. Testing fees by the state and/or testing organizations will apply</w:t>
            </w:r>
          </w:p>
        </w:tc>
      </w:tr>
      <w:tr w:rsidR="483C1FB6" w:rsidTr="483C1FB6" w14:paraId="65DACC30">
        <w:trPr>
          <w:trHeight w:val="315"/>
        </w:trPr>
        <w:tc>
          <w:tcPr>
            <w:tcW w:w="4680" w:type="dxa"/>
            <w:tcMar/>
            <w:vAlign w:val="top"/>
          </w:tcPr>
          <w:p w:rsidR="483C1FB6" w:rsidP="483C1FB6" w:rsidRDefault="483C1FB6" w14:paraId="24E97F43" w14:textId="537820F5">
            <w:pPr>
              <w:pStyle w:val="Normal"/>
              <w:spacing w:line="259" w:lineRule="auto"/>
              <w:rPr>
                <w:rFonts w:ascii="Calibri" w:hAnsi="Calibri" w:eastAsia="Calibri" w:cs="Calibri"/>
                <w:b w:val="0"/>
                <w:bCs w:val="0"/>
                <w:i w:val="0"/>
                <w:iCs w:val="0"/>
                <w:sz w:val="24"/>
                <w:szCs w:val="24"/>
                <w:lang w:val="es-MX"/>
              </w:rPr>
            </w:pPr>
            <w:proofErr w:type="spellStart"/>
            <w:r w:rsidRPr="483C1FB6" w:rsidR="483C1FB6">
              <w:rPr>
                <w:rFonts w:ascii="Calibri" w:hAnsi="Calibri" w:eastAsia="Calibri" w:cs="Calibri"/>
                <w:b w:val="0"/>
                <w:bCs w:val="0"/>
                <w:i w:val="0"/>
                <w:iCs w:val="0"/>
                <w:sz w:val="24"/>
                <w:szCs w:val="24"/>
                <w:lang w:val="es-MX"/>
              </w:rPr>
              <w:t>Phase</w:t>
            </w:r>
            <w:proofErr w:type="spellEnd"/>
            <w:r w:rsidRPr="483C1FB6" w:rsidR="483C1FB6">
              <w:rPr>
                <w:rFonts w:ascii="Calibri" w:hAnsi="Calibri" w:eastAsia="Calibri" w:cs="Calibri"/>
                <w:b w:val="0"/>
                <w:bCs w:val="0"/>
                <w:i w:val="0"/>
                <w:iCs w:val="0"/>
                <w:sz w:val="24"/>
                <w:szCs w:val="24"/>
                <w:lang w:val="es-MX"/>
              </w:rPr>
              <w:t xml:space="preserve"> 4: </w:t>
            </w:r>
            <w:proofErr w:type="spellStart"/>
            <w:r w:rsidRPr="483C1FB6" w:rsidR="483C1FB6">
              <w:rPr>
                <w:rFonts w:ascii="Calibri" w:hAnsi="Calibri" w:eastAsia="Calibri" w:cs="Calibri"/>
                <w:b w:val="0"/>
                <w:bCs w:val="0"/>
                <w:i w:val="0"/>
                <w:iCs w:val="0"/>
                <w:sz w:val="24"/>
                <w:szCs w:val="24"/>
                <w:lang w:val="es-MX"/>
              </w:rPr>
              <w:t>Applying</w:t>
            </w:r>
            <w:proofErr w:type="spellEnd"/>
            <w:r w:rsidRPr="483C1FB6" w:rsidR="483C1FB6">
              <w:rPr>
                <w:rFonts w:ascii="Calibri" w:hAnsi="Calibri" w:eastAsia="Calibri" w:cs="Calibri"/>
                <w:b w:val="0"/>
                <w:bCs w:val="0"/>
                <w:i w:val="0"/>
                <w:iCs w:val="0"/>
                <w:sz w:val="24"/>
                <w:szCs w:val="24"/>
                <w:lang w:val="es-MX"/>
              </w:rPr>
              <w:t xml:space="preserve">  </w:t>
            </w:r>
            <w:r w:rsidRPr="483C1FB6" w:rsidR="483C1FB6">
              <w:rPr>
                <w:rFonts w:ascii="Calibri" w:hAnsi="Calibri" w:eastAsia="Calibri" w:cs="Calibri"/>
                <w:b w:val="0"/>
                <w:bCs w:val="0"/>
                <w:i w:val="0"/>
                <w:iCs w:val="0"/>
                <w:sz w:val="24"/>
                <w:szCs w:val="24"/>
                <w:lang w:val="es-MX"/>
              </w:rPr>
              <w:t>for</w:t>
            </w:r>
            <w:r w:rsidRPr="483C1FB6" w:rsidR="483C1FB6">
              <w:rPr>
                <w:rFonts w:ascii="Calibri" w:hAnsi="Calibri" w:eastAsia="Calibri" w:cs="Calibri"/>
                <w:b w:val="0"/>
                <w:bCs w:val="0"/>
                <w:i w:val="0"/>
                <w:iCs w:val="0"/>
                <w:sz w:val="24"/>
                <w:szCs w:val="24"/>
                <w:lang w:val="es-MX"/>
              </w:rPr>
              <w:t xml:space="preserve"> </w:t>
            </w:r>
            <w:r w:rsidRPr="483C1FB6" w:rsidR="483C1FB6">
              <w:rPr>
                <w:rFonts w:ascii="Calibri" w:hAnsi="Calibri" w:eastAsia="Calibri" w:cs="Calibri"/>
                <w:b w:val="0"/>
                <w:bCs w:val="0"/>
                <w:i w:val="0"/>
                <w:iCs w:val="0"/>
                <w:caps w:val="0"/>
                <w:smallCaps w:val="0"/>
                <w:noProof w:val="0"/>
                <w:color w:val="000000" w:themeColor="text1" w:themeTint="FF" w:themeShade="FF"/>
                <w:sz w:val="24"/>
                <w:szCs w:val="24"/>
                <w:lang w:val="es-MX"/>
              </w:rPr>
              <w:t>Certificate</w:t>
            </w:r>
            <w:r w:rsidRPr="483C1FB6" w:rsidR="483C1FB6">
              <w:rPr>
                <w:rFonts w:ascii="Calibri" w:hAnsi="Calibri" w:eastAsia="Calibri" w:cs="Calibri"/>
                <w:b w:val="0"/>
                <w:bCs w:val="0"/>
                <w:i w:val="0"/>
                <w:iCs w:val="0"/>
                <w:sz w:val="24"/>
                <w:szCs w:val="24"/>
                <w:lang w:val="es-MX"/>
              </w:rPr>
              <w:t xml:space="preserve"> </w:t>
            </w:r>
          </w:p>
        </w:tc>
        <w:tc>
          <w:tcPr>
            <w:tcW w:w="4680" w:type="dxa"/>
            <w:tcMar/>
            <w:vAlign w:val="top"/>
          </w:tcPr>
          <w:p w:rsidR="483C1FB6" w:rsidP="483C1FB6" w:rsidRDefault="483C1FB6" w14:paraId="321EF024" w14:textId="2B95CE2E">
            <w:pPr>
              <w:pStyle w:val="ListParagraph"/>
              <w:numPr>
                <w:ilvl w:val="0"/>
                <w:numId w:val="3"/>
              </w:numPr>
              <w:spacing w:line="259" w:lineRule="auto"/>
              <w:rPr>
                <w:rFonts w:ascii="Symbol" w:hAnsi="Symbol" w:eastAsia="Symbol" w:cs="Symbol" w:asciiTheme="minorAscii" w:hAnsiTheme="minorAscii" w:eastAsiaTheme="minorAscii" w:cstheme="minorAscii"/>
                <w:b w:val="0"/>
                <w:bCs w:val="0"/>
                <w:i w:val="0"/>
                <w:iCs w:val="0"/>
                <w:sz w:val="24"/>
                <w:szCs w:val="24"/>
                <w:lang w:val="en-US"/>
              </w:rPr>
            </w:pPr>
            <w:r w:rsidRPr="483C1FB6" w:rsidR="483C1FB6">
              <w:rPr>
                <w:rFonts w:ascii="Calibri" w:hAnsi="Calibri" w:eastAsia="Calibri" w:cs="Calibri"/>
                <w:b w:val="0"/>
                <w:bCs w:val="0"/>
                <w:i w:val="0"/>
                <w:iCs w:val="0"/>
                <w:sz w:val="24"/>
                <w:szCs w:val="24"/>
                <w:lang w:val="en-US"/>
              </w:rPr>
              <w:t xml:space="preserve">Complete all requirements for a Standard Certificate.                                -Students will need to complete all coursework, clinical teaching or internship, and examination requirements indicated on their certification plans </w:t>
            </w:r>
          </w:p>
          <w:p w:rsidR="483C1FB6" w:rsidP="483C1FB6" w:rsidRDefault="483C1FB6" w14:paraId="1732EA9A" w14:textId="50A16179">
            <w:pPr>
              <w:pStyle w:val="ListParagraph"/>
              <w:numPr>
                <w:ilvl w:val="0"/>
                <w:numId w:val="3"/>
              </w:numPr>
              <w:spacing w:line="259" w:lineRule="auto"/>
              <w:rPr>
                <w:b w:val="0"/>
                <w:bCs w:val="0"/>
                <w:i w:val="0"/>
                <w:iCs w:val="0"/>
                <w:sz w:val="24"/>
                <w:szCs w:val="24"/>
                <w:lang w:val="en-US"/>
              </w:rPr>
            </w:pPr>
            <w:r w:rsidRPr="483C1FB6" w:rsidR="483C1FB6">
              <w:rPr>
                <w:rFonts w:ascii="Calibri" w:hAnsi="Calibri" w:eastAsia="Calibri" w:cs="Calibri"/>
                <w:b w:val="0"/>
                <w:bCs w:val="0"/>
                <w:i w:val="0"/>
                <w:iCs w:val="0"/>
                <w:sz w:val="24"/>
                <w:szCs w:val="24"/>
                <w:lang w:val="en-US"/>
              </w:rPr>
              <w:t xml:space="preserve">Apply for Standard Certificate                 - Upon completion of all requirements, students will need to apply online. When qualifications are met, the program will recommend you online for the Standard Certificate. A criminal background check will be conducted prior to issuance of any certificate.  All first-time applicants for an initial credential must be fingerprinted as part of a national criminal background check. A fingerprinting fee, certification fees, and/or other fees will be changed by the state. </w:t>
            </w:r>
          </w:p>
          <w:p w:rsidR="483C1FB6" w:rsidP="483C1FB6" w:rsidRDefault="483C1FB6" w14:paraId="027728C4" w14:textId="66F0E656">
            <w:pPr>
              <w:pStyle w:val="ListParagraph"/>
              <w:numPr>
                <w:ilvl w:val="0"/>
                <w:numId w:val="3"/>
              </w:numPr>
              <w:spacing w:line="259" w:lineRule="auto"/>
              <w:rPr>
                <w:b w:val="0"/>
                <w:bCs w:val="0"/>
                <w:i w:val="0"/>
                <w:iCs w:val="0"/>
                <w:sz w:val="24"/>
                <w:szCs w:val="24"/>
                <w:lang w:val="en-US"/>
              </w:rPr>
            </w:pPr>
            <w:r w:rsidRPr="483C1FB6" w:rsidR="483C1FB6">
              <w:rPr>
                <w:rFonts w:ascii="Calibri" w:hAnsi="Calibri" w:eastAsia="Calibri" w:cs="Calibri"/>
                <w:b w:val="0"/>
                <w:bCs w:val="0"/>
                <w:i w:val="0"/>
                <w:iCs w:val="0"/>
                <w:sz w:val="24"/>
                <w:szCs w:val="24"/>
                <w:lang w:val="en-US"/>
              </w:rPr>
              <w:t xml:space="preserve">Become a certified teacher.                   -When a student’s certificate is approved, it will be posted to the agency website. Students will be notified by email when your certificate is official.  </w:t>
            </w:r>
          </w:p>
        </w:tc>
      </w:tr>
    </w:tbl>
    <w:p xmlns:wp14="http://schemas.microsoft.com/office/word/2010/wordml" w:rsidP="58E8D7FE" w14:paraId="2C078E63" wp14:textId="378C3543">
      <w:pPr>
        <w:pStyle w:val="Normal"/>
      </w:pPr>
    </w:p>
    <w:sectPr>
      <w:pgSz w:w="12240" w:h="15840" w:orient="portrait"/>
      <w:pgMar w:top="1440" w:right="1440" w:bottom="1440" w:left="1440" w:header="720" w:footer="720" w:gutter="0"/>
      <w:cols w:space="720"/>
      <w:docGrid w:linePitch="360"/>
      <w:headerReference w:type="default" r:id="Re51c4a9cc2174145"/>
      <w:footerReference w:type="default" r:id="R1eba5b475ac649c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4C61DAE8" w:rsidP="4C61DAE8" w:rsidRDefault="4C61DAE8" w14:paraId="50F4174C" w14:textId="5CA6B88D">
    <w:pPr>
      <w:pStyle w:val="Footer"/>
      <w:bidi w:val="0"/>
      <w:jc w:val="center"/>
    </w:pPr>
    <w:r w:rsidR="4C61DAE8">
      <w:drawing>
        <wp:inline wp14:editId="45C3B74F" wp14:anchorId="3CAFA6A6">
          <wp:extent cx="2600325" cy="1647825"/>
          <wp:effectExtent l="0" t="0" r="0" b="0"/>
          <wp:docPr id="1126961024" name="" title=""/>
          <wp:cNvGraphicFramePr>
            <a:graphicFrameLocks noChangeAspect="1"/>
          </wp:cNvGraphicFramePr>
          <a:graphic>
            <a:graphicData uri="http://schemas.openxmlformats.org/drawingml/2006/picture">
              <pic:pic>
                <pic:nvPicPr>
                  <pic:cNvPr id="0" name=""/>
                  <pic:cNvPicPr/>
                </pic:nvPicPr>
                <pic:blipFill>
                  <a:blip r:embed="R2d2ffe3c82564ebc">
                    <a:extLst>
                      <a:ext xmlns:a="http://schemas.openxmlformats.org/drawingml/2006/main" uri="{28A0092B-C50C-407E-A947-70E740481C1C}">
                        <a14:useLocalDpi val="0"/>
                      </a:ext>
                    </a:extLst>
                  </a:blip>
                  <a:stretch>
                    <a:fillRect/>
                  </a:stretch>
                </pic:blipFill>
                <pic:spPr>
                  <a:xfrm>
                    <a:off x="0" y="0"/>
                    <a:ext cx="2600325" cy="1647825"/>
                  </a:xfrm>
                  <a:prstGeom prst="rect">
                    <a:avLst/>
                  </a:prstGeom>
                </pic:spPr>
              </pic:pic>
            </a:graphicData>
          </a:graphic>
        </wp:inline>
      </w:drawing>
    </w: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C61DAE8" w:rsidTr="4C61DAE8" w14:paraId="26918E97">
      <w:tc>
        <w:tcPr>
          <w:tcW w:w="3120" w:type="dxa"/>
          <w:tcMar/>
        </w:tcPr>
        <w:p w:rsidR="4C61DAE8" w:rsidP="4C61DAE8" w:rsidRDefault="4C61DAE8" w14:paraId="527ABAC2" w14:textId="68911B83">
          <w:pPr>
            <w:pStyle w:val="Header"/>
            <w:bidi w:val="0"/>
            <w:ind w:left="-115"/>
            <w:jc w:val="left"/>
          </w:pPr>
        </w:p>
      </w:tc>
      <w:tc>
        <w:tcPr>
          <w:tcW w:w="3120" w:type="dxa"/>
          <w:tcMar/>
        </w:tcPr>
        <w:p w:rsidR="4C61DAE8" w:rsidP="4C61DAE8" w:rsidRDefault="4C61DAE8" w14:paraId="424A6059" w14:textId="2D76C68A">
          <w:pPr>
            <w:pStyle w:val="Header"/>
            <w:bidi w:val="0"/>
            <w:jc w:val="center"/>
          </w:pPr>
        </w:p>
      </w:tc>
      <w:tc>
        <w:tcPr>
          <w:tcW w:w="3120" w:type="dxa"/>
          <w:tcMar/>
        </w:tcPr>
        <w:p w:rsidR="4C61DAE8" w:rsidP="4C61DAE8" w:rsidRDefault="4C61DAE8" w14:paraId="6867A2E8" w14:textId="396AA9C0">
          <w:pPr>
            <w:pStyle w:val="Header"/>
            <w:bidi w:val="0"/>
            <w:ind w:right="-115"/>
            <w:jc w:val="right"/>
          </w:pPr>
        </w:p>
      </w:tc>
    </w:tr>
  </w:tbl>
  <w:p w:rsidR="4C61DAE8" w:rsidP="4C61DAE8" w:rsidRDefault="4C61DAE8" w14:paraId="40B22021" w14:textId="3E48E92F">
    <w:pPr>
      <w:pStyle w:val="Header"/>
      <w:bidi w:val="0"/>
    </w:pPr>
  </w:p>
</w:hdr>
</file>

<file path=word/intelligence2.xml><?xml version="1.0" encoding="utf-8"?>
<int2:intelligence xmlns:int2="http://schemas.microsoft.com/office/intelligence/2020/intelligence">
  <int2:observations>
    <int2:bookmark int2:bookmarkName="_Int_SJl8k2iU" int2:invalidationBookmarkName="" int2:hashCode="0MGANKhjcAi36i" int2:id="X0QdV88T">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6886CF"/>
    <w:rsid w:val="025AFA73"/>
    <w:rsid w:val="0407AB9C"/>
    <w:rsid w:val="043070A1"/>
    <w:rsid w:val="04413AD1"/>
    <w:rsid w:val="06AAF2E5"/>
    <w:rsid w:val="0778DB93"/>
    <w:rsid w:val="0846C346"/>
    <w:rsid w:val="0D068074"/>
    <w:rsid w:val="1059C2B1"/>
    <w:rsid w:val="10DF2F6D"/>
    <w:rsid w:val="128135B7"/>
    <w:rsid w:val="12919BAD"/>
    <w:rsid w:val="14378F3B"/>
    <w:rsid w:val="146B0DEA"/>
    <w:rsid w:val="15D35F9C"/>
    <w:rsid w:val="16C90435"/>
    <w:rsid w:val="16CDC992"/>
    <w:rsid w:val="17D59C48"/>
    <w:rsid w:val="1EBFB31A"/>
    <w:rsid w:val="1F17DE19"/>
    <w:rsid w:val="22CAAFF7"/>
    <w:rsid w:val="23C849E3"/>
    <w:rsid w:val="24668058"/>
    <w:rsid w:val="247A190F"/>
    <w:rsid w:val="2BD92177"/>
    <w:rsid w:val="2C8D33B8"/>
    <w:rsid w:val="2D18D65D"/>
    <w:rsid w:val="2DF25FA4"/>
    <w:rsid w:val="2E290419"/>
    <w:rsid w:val="2E329AD3"/>
    <w:rsid w:val="2EC50CB4"/>
    <w:rsid w:val="315C8D8E"/>
    <w:rsid w:val="32E34CDF"/>
    <w:rsid w:val="336886CF"/>
    <w:rsid w:val="33900567"/>
    <w:rsid w:val="341EEA78"/>
    <w:rsid w:val="352C9F16"/>
    <w:rsid w:val="3863768A"/>
    <w:rsid w:val="39AF7EBF"/>
    <w:rsid w:val="39FF46EB"/>
    <w:rsid w:val="3A5770EF"/>
    <w:rsid w:val="3A6878F5"/>
    <w:rsid w:val="3AA8B51F"/>
    <w:rsid w:val="3E257FA1"/>
    <w:rsid w:val="3E70C4EC"/>
    <w:rsid w:val="40AD8A16"/>
    <w:rsid w:val="41C5C8CD"/>
    <w:rsid w:val="42DD05E0"/>
    <w:rsid w:val="43069433"/>
    <w:rsid w:val="44935F64"/>
    <w:rsid w:val="4651D411"/>
    <w:rsid w:val="47A429C2"/>
    <w:rsid w:val="47B07703"/>
    <w:rsid w:val="483C1FB6"/>
    <w:rsid w:val="48E986C1"/>
    <w:rsid w:val="4B361F97"/>
    <w:rsid w:val="4C61DAE8"/>
    <w:rsid w:val="4CE3FFB0"/>
    <w:rsid w:val="50EA1F9D"/>
    <w:rsid w:val="518076F5"/>
    <w:rsid w:val="518076F5"/>
    <w:rsid w:val="54B817B7"/>
    <w:rsid w:val="57388D6B"/>
    <w:rsid w:val="57EFB879"/>
    <w:rsid w:val="58E8D7FE"/>
    <w:rsid w:val="59A78623"/>
    <w:rsid w:val="5BEB037E"/>
    <w:rsid w:val="5CE903E1"/>
    <w:rsid w:val="5F34CF36"/>
    <w:rsid w:val="5F89B6CE"/>
    <w:rsid w:val="6185D08F"/>
    <w:rsid w:val="629BEC8A"/>
    <w:rsid w:val="64F98A2E"/>
    <w:rsid w:val="656D6C45"/>
    <w:rsid w:val="67237652"/>
    <w:rsid w:val="68E8D506"/>
    <w:rsid w:val="6CA7ABB7"/>
    <w:rsid w:val="6D92B7D6"/>
    <w:rsid w:val="70711C4A"/>
    <w:rsid w:val="70E6C361"/>
    <w:rsid w:val="71B8F08C"/>
    <w:rsid w:val="75E191BA"/>
    <w:rsid w:val="75EBD18D"/>
    <w:rsid w:val="76349C52"/>
    <w:rsid w:val="78041E33"/>
    <w:rsid w:val="78DD89D9"/>
    <w:rsid w:val="79EA5D96"/>
    <w:rsid w:val="7C3628EB"/>
    <w:rsid w:val="7E08F32A"/>
    <w:rsid w:val="7E748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86CF"/>
  <w15:chartTrackingRefBased/>
  <w15:docId w15:val="{6ED248CF-5369-4C0F-A3AE-47F8CA8056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a84c7c443ebe450b" /><Relationship Type="http://schemas.openxmlformats.org/officeDocument/2006/relationships/numbering" Target="numbering.xml" Id="R81b76e4f0fdf4bb7" /><Relationship Type="http://schemas.openxmlformats.org/officeDocument/2006/relationships/header" Target="header.xml" Id="Re51c4a9cc2174145" /><Relationship Type="http://schemas.openxmlformats.org/officeDocument/2006/relationships/footer" Target="footer.xml" Id="R1eba5b475ac649cd" /></Relationships>
</file>

<file path=word/_rels/footer.xml.rels>&#65279;<?xml version="1.0" encoding="utf-8"?><Relationships xmlns="http://schemas.openxmlformats.org/package/2006/relationships"><Relationship Type="http://schemas.openxmlformats.org/officeDocument/2006/relationships/image" Target="/media/image.png" Id="R2d2ffe3c82564eb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2022-02-18T15:46:41.5157131Z</dcterms:created>
  <dcterms:modified xsi:type="dcterms:W3CDTF">2022-04-11T15:28:38.9392416Z</dcterms:modified>
  <dc:creator>Shelby Burger</dc:creator>
  <lastModifiedBy>Danyelle Meyer</lastModifiedBy>
</coreProperties>
</file>